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4 - ILEGITIMIDADE DE PARTE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reclamante incluiu no polo passivo da presente demanda a 2ª e 3ª reclamadas, Sras. {{nome_segunda_reclamada}} (2ª reclamada) e {{nome_terceira_reclamada}} (3ª reclamada), sob a alegação de ter sido contratada por elas para trabalhar como cuidadora de sua mãe (1ª reclamada). Outrossim, alega que as 2ª e 3ª reclamadas respondiam financeiramente pela sua contratação.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ISSO É UMA FRASE DO MICHEL</w:t>
      </w:r>
      <w:r>
        <w:rPr>
          <w:rStyle w:val="FootnoteReference"/>
        </w:rPr>
        <w:footnoteReference w:id="1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 entanto, em que pese as alegações constantes da inicial, não existem fundamentos jurídicos para a manutenção da 2ª e 3ª reclamadas no polo passivo da presente demanda, senão vejamos.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Como informado pela reclamante (fls. {{folhas_autos_nomeacao_reclamadas}} autos), </w:t>
      </w:r>
      <w:r>
        <w:rPr>
          <w:sz w:val="24"/>
          <w:szCs w:val="24"/>
          <w:b w:val="1"/>
          <w:bCs w:val="1"/>
        </w:rPr>
        <w:t xml:space="preserve"> a 2ª e 3ª reclamadas foram nomeadas curadoras da 1ª reclamada </w:t>
      </w:r>
      <w:r>
        <w:rPr>
          <w:sz w:val="24"/>
          <w:szCs w:val="24"/>
        </w:rPr>
        <w:t xml:space="preserve">, conforme comprova o documento anexo (doc. {{identificador_documento}}). Ou seja, eram responsáveis apenas pela administração da vida financeira da curatelada, com poderes limitados isso é uma frase no meio do conteúdo</w:t>
      </w:r>
      <w:r>
        <w:rPr>
          <w:rStyle w:val="FootnoteReference"/>
        </w:rPr>
        <w:footnoteReference w:id="2"/>
      </w:r>
      <w:r>
        <w:rPr>
          <w:sz w:val="24"/>
          <w:szCs w:val="24"/>
        </w:rPr>
        <w:t xml:space="preserve"> para administrar valores, assinar cheques, movimentar contas, contrair dívidas e prestar contas, não havendo qualquer vínculo empregatício com a autora.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assistência prestada pelas filhas (2ª e 3ª reclamadas) à 1ª reclamada </w:t>
      </w:r>
      <w:r>
        <w:rPr>
          <w:sz w:val="24"/>
          <w:szCs w:val="24"/>
          <w:b w:val="1"/>
          <w:bCs w:val="1"/>
        </w:rPr>
        <w:t xml:space="preserve"> não se confunde com a obrigação do empregador doméstico </w:t>
      </w:r>
      <w:r>
        <w:rPr>
          <w:sz w:val="24"/>
          <w:szCs w:val="24"/>
        </w:rPr>
        <w:t xml:space="preserve">, pois tinham apenas a obrigação legal de administrar os bens e finanças de sua mãe, não havendo responsabilidade além da prevista em lei.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O simples fato de administrar os pagamentos da Sra. Lygia à reclamante não torna a 2ª e 3ª reclamadas empregadoras da mão de obra da autora, tampouco permite presumir que se beneficiaram dos serviços por ela prestados.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Inclusive, </w:t>
      </w:r>
      <w:r>
        <w:rPr>
          <w:sz w:val="24"/>
          <w:szCs w:val="24"/>
          <w:b w:val="1"/>
          <w:bCs w:val="1"/>
        </w:rPr>
        <w:t xml:space="preserve"> todos os pagamentos realizados à reclamante foram feitos da conta corrente da 1ª reclamada </w:t>
      </w:r>
      <w:r>
        <w:rPr>
          <w:sz w:val="24"/>
          <w:szCs w:val="24"/>
        </w:rPr>
        <w:t xml:space="preserve">, conforme identificado pelos extratos anexados à inicial, nunca com recursos das 2ª e 3ª reclamadas.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Como se verifica, a 2ª e 3ª reclamadas apenas supriam a incapacidade da 1ª reclamada, sendo que todas as despesas eram objeto de prestação de contas em ação própria em trâmite perante a 1ª Vara de Família e Sucessões de São Paulo.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Ora, não existe qualquer previsão legal que determine que o curador responda por dívidas do curatelado, seja pela Lei Complementar nº 150/2015, seja pela CLT, seja pelo Código Civil.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Some-se a isso o fato de que </w:t>
      </w:r>
      <w:r>
        <w:rPr>
          <w:sz w:val="24"/>
          <w:szCs w:val="24"/>
          <w:b w:val="1"/>
          <w:bCs w:val="1"/>
        </w:rPr>
        <w:t xml:space="preserve"> a 2ª e 3ª reclamadas não residem no mesmo âmbito familiar da 1ª reclamada </w:t>
      </w:r>
      <w:r>
        <w:rPr>
          <w:sz w:val="24"/>
          <w:szCs w:val="24"/>
        </w:rPr>
        <w:t xml:space="preserve">, conforme consta da própria inicial (fls. {{folhas_autos_residencia_distinta}}) e dos documentos anexos, que comprovam </w:t>
      </w:r>
      <w:r>
        <w:rPr>
          <w:sz w:val="24"/>
          <w:szCs w:val="24"/>
          <w:b w:val="1"/>
          <w:bCs w:val="1"/>
        </w:rPr>
        <w:t xml:space="preserve"> residências com endereços distintos </w:t>
      </w:r>
      <w:r>
        <w:rPr>
          <w:sz w:val="24"/>
          <w:szCs w:val="24"/>
        </w:rPr>
        <w:t xml:space="preserve">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Portanto, considerando que a reclamante </w:t>
      </w:r>
      <w:r>
        <w:rPr>
          <w:sz w:val="24"/>
          <w:szCs w:val="24"/>
          <w:b w:val="1"/>
          <w:bCs w:val="1"/>
        </w:rPr>
        <w:t xml:space="preserve"> sempre prestou serviços na residência da 1ª reclamada </w:t>
      </w:r>
      <w:r>
        <w:rPr>
          <w:sz w:val="24"/>
          <w:szCs w:val="24"/>
        </w:rPr>
        <w:t xml:space="preserve"> e que as 2ª e 3ª reclamadas possuem núcleos familiares distintos, é evidente que </w:t>
      </w:r>
      <w:r>
        <w:rPr>
          <w:sz w:val="24"/>
          <w:szCs w:val="24"/>
          <w:b w:val="1"/>
          <w:bCs w:val="1"/>
        </w:rPr>
        <w:t xml:space="preserve"> apenas a 1ª reclamada foi a única beneficiada </w:t>
      </w:r>
      <w:r>
        <w:rPr>
          <w:sz w:val="24"/>
          <w:szCs w:val="24"/>
        </w:rPr>
        <w:t xml:space="preserve"> pela mão de obra da reclamante.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 acordo com a Lei Complementar nº 150/2015, empregado doméstico é aquele que presta serviços a pessoa ou família, no âmbito residencial, por mais de dois dias por semana. Assim, por não residirem com a 1ª reclamada, a 2ª e 3ª reclamadas </w:t>
      </w:r>
      <w:r>
        <w:rPr>
          <w:sz w:val="24"/>
          <w:szCs w:val="24"/>
          <w:b w:val="1"/>
          <w:bCs w:val="1"/>
        </w:rPr>
        <w:t xml:space="preserve"> não fazem parte do âmbito familiar </w:t>
      </w:r>
      <w:r>
        <w:rPr>
          <w:sz w:val="24"/>
          <w:szCs w:val="24"/>
        </w:rPr>
        <w:t xml:space="preserve"> descrito na lei, não havendo que se falar em suas inclusões no polo passivo da presente demanda.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Nesse sentido, é o entendimento consolidado dessa Justiça Especializada, em casos semelhantes, conforme jurisprudência deste E. Tribunal. (incluir jurisprudência atualizada)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Assim, a 2ª e 3ª reclamadas são parte ilegítima para compor o polo passivo da presente demanda, razão pela qual requerem sua exclusão, com a consequente extinção do feito sem resolução do mérito em relação a elas, nos termos do art. 330, II, do CPC, supletivamente aplicável.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Caso superadas as preliminares arguidas, as reclamadas passam a contestar o mérito, em atenção ao princípio da eventualidade, sendo a ação totalmente improcedente, pois nenhuma verba é devida em favor da reclamante, conforme abaixo exposto.</w:t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 xml:space="preserve">Meu Teclado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 xml:space="preserve">Ideias do Michel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2026-02-01T05:42:42-03:00</dcterms:created>
  <dcterms:modified xsi:type="dcterms:W3CDTF">2026-02-01T05:42:42-03:00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